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525" w:rsidRDefault="00F11525" w:rsidP="0082723D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>
            <wp:extent cx="2657475" cy="6477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23D" w:rsidRPr="00F11525" w:rsidRDefault="0082723D" w:rsidP="0082723D">
      <w:pPr>
        <w:jc w:val="center"/>
        <w:rPr>
          <w:b/>
        </w:rPr>
      </w:pPr>
      <w:r w:rsidRPr="00F11525">
        <w:rPr>
          <w:b/>
        </w:rPr>
        <w:t>SCHEDA INFORMATIVA STAGE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Tipologia</w:t>
            </w:r>
          </w:p>
          <w:p w:rsidR="0082723D" w:rsidRDefault="0082723D" w:rsidP="0082723D"/>
        </w:tc>
        <w:tc>
          <w:tcPr>
            <w:tcW w:w="6693" w:type="dxa"/>
          </w:tcPr>
          <w:p w:rsidR="0082723D" w:rsidRDefault="0082723D" w:rsidP="0082723D">
            <w:r>
              <w:t>Stage curricolare</w:t>
            </w:r>
          </w:p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Corsi</w:t>
            </w:r>
          </w:p>
          <w:p w:rsidR="0082723D" w:rsidRDefault="0082723D" w:rsidP="0082723D"/>
        </w:tc>
        <w:tc>
          <w:tcPr>
            <w:tcW w:w="6693" w:type="dxa"/>
          </w:tcPr>
          <w:p w:rsidR="0082723D" w:rsidRDefault="0082723D" w:rsidP="0082723D">
            <w:r>
              <w:t>L’elenco dei corsi è disponibile sul sito www.it</w:t>
            </w:r>
            <w:r w:rsidR="009321DE">
              <w:t>s</w:t>
            </w:r>
            <w:r>
              <w:t>malignani.it</w:t>
            </w:r>
          </w:p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 xml:space="preserve">Durata del tirocinio </w:t>
            </w:r>
          </w:p>
        </w:tc>
        <w:tc>
          <w:tcPr>
            <w:tcW w:w="6693" w:type="dxa"/>
          </w:tcPr>
          <w:p w:rsidR="00F12339" w:rsidRDefault="00F12339" w:rsidP="009321DE">
            <w:pPr>
              <w:ind w:left="34"/>
              <w:jc w:val="both"/>
            </w:pPr>
            <w:r>
              <w:t>La durata del tirocinio varia da settore a settore, da corso  a corso.</w:t>
            </w:r>
          </w:p>
          <w:p w:rsidR="00F12339" w:rsidRDefault="00F12339" w:rsidP="009321DE">
            <w:pPr>
              <w:ind w:left="34"/>
              <w:jc w:val="both"/>
            </w:pPr>
            <w:r>
              <w:t xml:space="preserve">I dati sono pubblicati nel Piano dell’offerta formativa dei singoli corsi pubblicati sul sito </w:t>
            </w:r>
            <w:hyperlink r:id="rId9" w:history="1">
              <w:r w:rsidR="009321DE" w:rsidRPr="00B235A3">
                <w:rPr>
                  <w:rStyle w:val="Collegamentoipertestuale"/>
                </w:rPr>
                <w:t>www.itsmalignani.it</w:t>
              </w:r>
            </w:hyperlink>
          </w:p>
          <w:p w:rsidR="00F12339" w:rsidRDefault="00F12339" w:rsidP="009321DE">
            <w:pPr>
              <w:ind w:left="34"/>
              <w:jc w:val="both"/>
            </w:pPr>
            <w:r>
              <w:t xml:space="preserve"> </w:t>
            </w:r>
          </w:p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Tempi di realizzazione</w:t>
            </w:r>
          </w:p>
        </w:tc>
        <w:tc>
          <w:tcPr>
            <w:tcW w:w="6693" w:type="dxa"/>
          </w:tcPr>
          <w:p w:rsidR="00F12339" w:rsidRDefault="00F12339" w:rsidP="00F12339">
            <w:r>
              <w:t>Indicativamente gli stage si svolgono :</w:t>
            </w:r>
          </w:p>
          <w:p w:rsidR="00F12339" w:rsidRDefault="00F12339" w:rsidP="00F12339">
            <w:pPr>
              <w:pStyle w:val="Paragrafoelenco"/>
              <w:numPr>
                <w:ilvl w:val="0"/>
                <w:numId w:val="1"/>
              </w:numPr>
              <w:ind w:left="317" w:hanging="283"/>
            </w:pPr>
            <w:r>
              <w:t>1° anno formativo: nel periodo da  maggio a giugno</w:t>
            </w:r>
          </w:p>
          <w:p w:rsidR="0082723D" w:rsidRDefault="00F12339" w:rsidP="00F12339">
            <w:pPr>
              <w:pStyle w:val="Paragrafoelenco"/>
              <w:numPr>
                <w:ilvl w:val="0"/>
                <w:numId w:val="1"/>
              </w:numPr>
              <w:ind w:left="317" w:hanging="283"/>
            </w:pPr>
            <w:r>
              <w:t>2° anno formativo: nel periodo da febbraio ad aprile</w:t>
            </w:r>
            <w:r w:rsidR="009321DE">
              <w:t>.</w:t>
            </w:r>
          </w:p>
          <w:p w:rsidR="00F12339" w:rsidRDefault="00F12339" w:rsidP="00F12339"/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Procedure di attivazione</w:t>
            </w:r>
          </w:p>
        </w:tc>
        <w:tc>
          <w:tcPr>
            <w:tcW w:w="6693" w:type="dxa"/>
          </w:tcPr>
          <w:p w:rsidR="0082723D" w:rsidRDefault="00F12339" w:rsidP="0082723D">
            <w:r>
              <w:t>E’ richiesta</w:t>
            </w:r>
          </w:p>
          <w:p w:rsidR="00F12339" w:rsidRDefault="00F12339" w:rsidP="00F12339">
            <w:pPr>
              <w:pStyle w:val="Paragrafoelenco"/>
              <w:numPr>
                <w:ilvl w:val="0"/>
                <w:numId w:val="1"/>
              </w:numPr>
              <w:ind w:left="317" w:hanging="283"/>
            </w:pPr>
            <w:r>
              <w:t>la stipula di una Convenzione tra MITS/Azienda/corsista;</w:t>
            </w:r>
          </w:p>
          <w:p w:rsidR="00F12339" w:rsidRDefault="00F12339" w:rsidP="00F12339">
            <w:pPr>
              <w:pStyle w:val="Paragrafoelenco"/>
              <w:numPr>
                <w:ilvl w:val="0"/>
                <w:numId w:val="1"/>
              </w:numPr>
              <w:ind w:left="317" w:hanging="283"/>
            </w:pPr>
            <w:r>
              <w:t>la definizione e sottoscrizione del Progetto formativo con individuazione delle competenze in esito;</w:t>
            </w:r>
          </w:p>
          <w:p w:rsidR="00F12339" w:rsidRDefault="00F12339" w:rsidP="00F12339">
            <w:pPr>
              <w:ind w:left="34"/>
            </w:pPr>
          </w:p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Assicurazione</w:t>
            </w:r>
          </w:p>
        </w:tc>
        <w:tc>
          <w:tcPr>
            <w:tcW w:w="6693" w:type="dxa"/>
          </w:tcPr>
          <w:p w:rsidR="0082723D" w:rsidRDefault="00F12339" w:rsidP="009321DE">
            <w:pPr>
              <w:jc w:val="both"/>
            </w:pPr>
            <w:r>
              <w:t>Il soggetto promotore (MITS) provvede ad assicurare il tirocinante contro gli infortuni sul lavoro presso l’INAIL (voce di tariffa definita</w:t>
            </w:r>
            <w:r w:rsidR="00D3333B">
              <w:t xml:space="preserve"> con circ. MIUR </w:t>
            </w:r>
            <w:r>
              <w:t xml:space="preserve"> </w:t>
            </w:r>
            <w:r w:rsidR="00D3333B">
              <w:t xml:space="preserve">a seguito di </w:t>
            </w:r>
            <w:r>
              <w:t>apposito incon</w:t>
            </w:r>
            <w:r w:rsidR="00D3333B">
              <w:t>tro con INAIL</w:t>
            </w:r>
            <w:r w:rsidR="009321DE">
              <w:t>)</w:t>
            </w:r>
            <w:r w:rsidR="00D3333B">
              <w:t>.</w:t>
            </w:r>
          </w:p>
          <w:p w:rsidR="00D3333B" w:rsidRDefault="00D3333B" w:rsidP="009321DE">
            <w:pPr>
              <w:jc w:val="both"/>
            </w:pPr>
            <w:r>
              <w:t>Il MITS attiva inoltre specifiche polizze a copertura della responsabilità civile verso terzi e infortuni</w:t>
            </w:r>
          </w:p>
          <w:p w:rsidR="00D3333B" w:rsidRDefault="00D3333B" w:rsidP="009321DE">
            <w:pPr>
              <w:jc w:val="both"/>
            </w:pPr>
          </w:p>
        </w:tc>
      </w:tr>
      <w:tr w:rsidR="00D3333B" w:rsidTr="00F12339">
        <w:tc>
          <w:tcPr>
            <w:tcW w:w="3085" w:type="dxa"/>
            <w:shd w:val="clear" w:color="auto" w:fill="DBE5F1" w:themeFill="accent1" w:themeFillTint="33"/>
          </w:tcPr>
          <w:p w:rsidR="00D3333B" w:rsidRDefault="00D3333B" w:rsidP="0082723D">
            <w:r>
              <w:t>Formazione in ambito sicurezza</w:t>
            </w:r>
          </w:p>
          <w:p w:rsidR="00D3333B" w:rsidRDefault="00D3333B" w:rsidP="0082723D"/>
        </w:tc>
        <w:tc>
          <w:tcPr>
            <w:tcW w:w="6693" w:type="dxa"/>
          </w:tcPr>
          <w:p w:rsidR="00D3333B" w:rsidRDefault="00D3333B" w:rsidP="00D3333B">
            <w:r>
              <w:t>Il MITS provvede alla formazione dei corsisti per quanto attiene</w:t>
            </w:r>
            <w:r w:rsidR="009321DE">
              <w:t xml:space="preserve"> la:</w:t>
            </w:r>
          </w:p>
          <w:p w:rsidR="00D3333B" w:rsidRDefault="00D3333B" w:rsidP="00D3333B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formazione generale;</w:t>
            </w:r>
          </w:p>
          <w:p w:rsidR="00D3333B" w:rsidRDefault="00D3333B" w:rsidP="00D3333B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formazione rischio alto.</w:t>
            </w:r>
          </w:p>
          <w:p w:rsidR="00D3333B" w:rsidRDefault="00D3333B" w:rsidP="00D3333B"/>
        </w:tc>
      </w:tr>
      <w:tr w:rsidR="00F11525" w:rsidTr="00F12339">
        <w:tc>
          <w:tcPr>
            <w:tcW w:w="3085" w:type="dxa"/>
            <w:shd w:val="clear" w:color="auto" w:fill="DBE5F1" w:themeFill="accent1" w:themeFillTint="33"/>
          </w:tcPr>
          <w:p w:rsidR="00F11525" w:rsidRDefault="00F11525" w:rsidP="0082723D">
            <w:r>
              <w:t>Costi</w:t>
            </w:r>
          </w:p>
          <w:p w:rsidR="00F11525" w:rsidRDefault="00F11525" w:rsidP="0082723D"/>
        </w:tc>
        <w:tc>
          <w:tcPr>
            <w:tcW w:w="6693" w:type="dxa"/>
          </w:tcPr>
          <w:p w:rsidR="00F11525" w:rsidRDefault="00F11525" w:rsidP="00D3333B">
            <w:r>
              <w:t>Lo stage non costituisce rapporto di lavoro.</w:t>
            </w:r>
          </w:p>
        </w:tc>
      </w:tr>
      <w:tr w:rsidR="0027156B" w:rsidTr="00F12339">
        <w:tc>
          <w:tcPr>
            <w:tcW w:w="3085" w:type="dxa"/>
            <w:shd w:val="clear" w:color="auto" w:fill="DBE5F1" w:themeFill="accent1" w:themeFillTint="33"/>
          </w:tcPr>
          <w:p w:rsidR="0027156B" w:rsidRDefault="0027156B" w:rsidP="0082723D">
            <w:r>
              <w:t>Obblighi per lo stagista</w:t>
            </w:r>
          </w:p>
          <w:p w:rsidR="0027156B" w:rsidRDefault="0027156B" w:rsidP="0082723D"/>
        </w:tc>
        <w:tc>
          <w:tcPr>
            <w:tcW w:w="6693" w:type="dxa"/>
          </w:tcPr>
          <w:p w:rsidR="0027156B" w:rsidRDefault="0027156B" w:rsidP="00D3333B">
            <w:r>
              <w:t>Durante lo svolgimento dello stage , lo stagista è tenuto a:</w:t>
            </w:r>
          </w:p>
          <w:p w:rsidR="0027156B" w:rsidRDefault="0027156B" w:rsidP="0027156B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svolgere le attività previste dal progetto formativo;</w:t>
            </w:r>
          </w:p>
          <w:p w:rsidR="0027156B" w:rsidRDefault="0027156B" w:rsidP="0027156B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rispettare le norme in materia di igiene, sicurezza e salute sul luogo di lavoro;</w:t>
            </w:r>
          </w:p>
          <w:p w:rsidR="0027156B" w:rsidRDefault="0027156B" w:rsidP="009321DE">
            <w:pPr>
              <w:pStyle w:val="Paragrafoelenco"/>
              <w:numPr>
                <w:ilvl w:val="0"/>
                <w:numId w:val="1"/>
              </w:numPr>
              <w:ind w:left="317" w:hanging="317"/>
              <w:jc w:val="both"/>
            </w:pPr>
            <w:r>
              <w:t>mantenere la necessaria riservatezza per quanto attiene ai dati, informazioni o conoscenze in merito  a processi produttivi, prodotti, acquisite durante lo svolgimento dello stage</w:t>
            </w:r>
            <w:r w:rsidR="009321DE">
              <w:t>.</w:t>
            </w:r>
          </w:p>
          <w:p w:rsidR="0027156B" w:rsidRDefault="0027156B" w:rsidP="0027156B"/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Referenti</w:t>
            </w:r>
          </w:p>
        </w:tc>
        <w:tc>
          <w:tcPr>
            <w:tcW w:w="6693" w:type="dxa"/>
          </w:tcPr>
          <w:p w:rsidR="0082723D" w:rsidRDefault="00D3333B" w:rsidP="0082723D">
            <w:r>
              <w:t>Sono previste le seguenti figure:</w:t>
            </w:r>
          </w:p>
          <w:p w:rsidR="00D3333B" w:rsidRDefault="00D3333B" w:rsidP="009321DE">
            <w:pPr>
              <w:pStyle w:val="Paragrafoelenco"/>
              <w:numPr>
                <w:ilvl w:val="0"/>
                <w:numId w:val="1"/>
              </w:numPr>
              <w:ind w:left="317" w:hanging="283"/>
              <w:jc w:val="both"/>
            </w:pPr>
            <w:r>
              <w:t xml:space="preserve">Ente promotore MITS: tutor amministrativo e tutor tecnico, responsabili </w:t>
            </w:r>
            <w:r w:rsidR="000A1148">
              <w:t xml:space="preserve"> rispettivamente </w:t>
            </w:r>
            <w:r>
              <w:t xml:space="preserve">dell’organizzazione delle attività formative </w:t>
            </w:r>
            <w:r w:rsidR="000A1148">
              <w:t xml:space="preserve"> di stage e dell’accompagnamento e monitoraggio dello stage del corsista </w:t>
            </w:r>
            <w:r>
              <w:t>;</w:t>
            </w:r>
          </w:p>
          <w:p w:rsidR="00D3333B" w:rsidRDefault="00D3333B" w:rsidP="009321DE">
            <w:pPr>
              <w:pStyle w:val="Paragrafoelenco"/>
              <w:numPr>
                <w:ilvl w:val="0"/>
                <w:numId w:val="1"/>
              </w:numPr>
              <w:ind w:left="317" w:hanging="283"/>
              <w:jc w:val="both"/>
            </w:pPr>
            <w:r>
              <w:t xml:space="preserve">Azienda ospitante: </w:t>
            </w:r>
            <w:r w:rsidR="000A1148">
              <w:t xml:space="preserve">responsabile dell’inserimento e affiancamento sul luogo di lavoro per tutto il periodo di stage. </w:t>
            </w:r>
          </w:p>
          <w:p w:rsidR="00F11525" w:rsidRDefault="00F11525" w:rsidP="009321DE">
            <w:pPr>
              <w:ind w:left="34"/>
            </w:pPr>
          </w:p>
        </w:tc>
      </w:tr>
      <w:tr w:rsidR="0082723D" w:rsidTr="00F12339"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lastRenderedPageBreak/>
              <w:t>Documenti</w:t>
            </w:r>
          </w:p>
        </w:tc>
        <w:tc>
          <w:tcPr>
            <w:tcW w:w="6693" w:type="dxa"/>
          </w:tcPr>
          <w:p w:rsidR="0082723D" w:rsidRDefault="000A1148" w:rsidP="0082723D">
            <w:r>
              <w:t xml:space="preserve">E’ prevista la compilazione </w:t>
            </w:r>
            <w:r w:rsidR="00F11525">
              <w:t>di:</w:t>
            </w:r>
          </w:p>
          <w:p w:rsidR="000A1148" w:rsidRDefault="000A1148" w:rsidP="009321DE">
            <w:pPr>
              <w:pStyle w:val="Paragrafoelenco"/>
              <w:numPr>
                <w:ilvl w:val="0"/>
                <w:numId w:val="1"/>
              </w:numPr>
              <w:ind w:left="317" w:hanging="283"/>
              <w:jc w:val="both"/>
            </w:pPr>
            <w:r>
              <w:t xml:space="preserve">Registro di stage per annotazione </w:t>
            </w:r>
            <w:r w:rsidR="00F11525">
              <w:t>delle ore e delle attività svolte in ogni singola giornata, che deve essere sottoscritto dal tutor aziendale e dallo stagista.</w:t>
            </w:r>
          </w:p>
          <w:p w:rsidR="00F11525" w:rsidRDefault="00F11525" w:rsidP="009321DE">
            <w:pPr>
              <w:pStyle w:val="Paragrafoelenco"/>
              <w:numPr>
                <w:ilvl w:val="0"/>
                <w:numId w:val="1"/>
              </w:numPr>
              <w:ind w:left="317" w:hanging="283"/>
              <w:jc w:val="both"/>
            </w:pPr>
            <w:r>
              <w:t>Modulo di valutazione.</w:t>
            </w:r>
          </w:p>
          <w:p w:rsidR="00F11525" w:rsidRDefault="00F11525" w:rsidP="00F11525">
            <w:pPr>
              <w:ind w:left="34"/>
            </w:pPr>
          </w:p>
          <w:p w:rsidR="00F11525" w:rsidRDefault="00F11525" w:rsidP="009321DE">
            <w:pPr>
              <w:ind w:left="34"/>
              <w:jc w:val="both"/>
            </w:pPr>
            <w:r>
              <w:t xml:space="preserve">In accordo con il tutor aziendale, lo studente durante lo stage del secondo anno può predisporre un </w:t>
            </w:r>
            <w:proofErr w:type="spellStart"/>
            <w:r>
              <w:t>project</w:t>
            </w:r>
            <w:proofErr w:type="spellEnd"/>
            <w:r>
              <w:t xml:space="preserve"> work (tesina) su aspetti inerenti le attività del tirocinio da presentare all’esame di stato</w:t>
            </w:r>
          </w:p>
          <w:p w:rsidR="000A1148" w:rsidRDefault="00F11525" w:rsidP="00F11525">
            <w:pPr>
              <w:ind w:left="34"/>
            </w:pPr>
            <w:r>
              <w:t xml:space="preserve"> </w:t>
            </w:r>
          </w:p>
        </w:tc>
      </w:tr>
      <w:tr w:rsidR="0082723D" w:rsidTr="00D3333B">
        <w:trPr>
          <w:trHeight w:val="1664"/>
        </w:trPr>
        <w:tc>
          <w:tcPr>
            <w:tcW w:w="3085" w:type="dxa"/>
            <w:shd w:val="clear" w:color="auto" w:fill="DBE5F1" w:themeFill="accent1" w:themeFillTint="33"/>
          </w:tcPr>
          <w:p w:rsidR="0082723D" w:rsidRDefault="0082723D" w:rsidP="0082723D">
            <w:r>
              <w:t>Monitoraggio e valutazione</w:t>
            </w:r>
          </w:p>
        </w:tc>
        <w:tc>
          <w:tcPr>
            <w:tcW w:w="6693" w:type="dxa"/>
          </w:tcPr>
          <w:p w:rsidR="0082723D" w:rsidRDefault="00F11525" w:rsidP="00F11525">
            <w:r>
              <w:t>Il tirocinio è supervisionato e monitorato da</w:t>
            </w:r>
          </w:p>
          <w:p w:rsidR="00F11525" w:rsidRDefault="00F11525" w:rsidP="00F11525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tutor dell’ente promotore (MITS)</w:t>
            </w:r>
          </w:p>
          <w:p w:rsidR="00F11525" w:rsidRDefault="00F11525" w:rsidP="00F11525">
            <w:pPr>
              <w:pStyle w:val="Paragrafoelenco"/>
              <w:numPr>
                <w:ilvl w:val="0"/>
                <w:numId w:val="1"/>
              </w:numPr>
              <w:ind w:left="317" w:hanging="317"/>
            </w:pPr>
            <w:r>
              <w:t>tutor aziendale</w:t>
            </w:r>
            <w:r w:rsidR="00A94FBB">
              <w:t>.</w:t>
            </w:r>
          </w:p>
          <w:p w:rsidR="00A94FBB" w:rsidRDefault="00A94FBB" w:rsidP="009321DE">
            <w:pPr>
              <w:jc w:val="both"/>
            </w:pPr>
            <w:r>
              <w:t xml:space="preserve">Al termine del tirocinio l’azienda ospitante predispone la valutazione finale dell’attività svolta su modulo fornito dal soggetto promotore. La valutazione , espressa in centesimi, è </w:t>
            </w:r>
            <w:bookmarkStart w:id="0" w:name="_GoBack"/>
            <w:bookmarkEnd w:id="0"/>
            <w:r>
              <w:t>considerata ai fini dell’ammissione all’Esame di Stato.</w:t>
            </w:r>
          </w:p>
          <w:p w:rsidR="00F11525" w:rsidRDefault="00F11525" w:rsidP="00F11525"/>
        </w:tc>
      </w:tr>
    </w:tbl>
    <w:p w:rsidR="00EC738F" w:rsidRDefault="00EC738F" w:rsidP="0082723D">
      <w:pPr>
        <w:jc w:val="center"/>
      </w:pPr>
    </w:p>
    <w:sectPr w:rsidR="00EC738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E55" w:rsidRDefault="00413E55" w:rsidP="00F11525">
      <w:pPr>
        <w:spacing w:after="0" w:line="240" w:lineRule="auto"/>
      </w:pPr>
      <w:r>
        <w:separator/>
      </w:r>
    </w:p>
  </w:endnote>
  <w:endnote w:type="continuationSeparator" w:id="0">
    <w:p w:rsidR="00413E55" w:rsidRDefault="00413E55" w:rsidP="00F1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548764"/>
      <w:docPartObj>
        <w:docPartGallery w:val="Page Numbers (Bottom of Page)"/>
        <w:docPartUnique/>
      </w:docPartObj>
    </w:sdtPr>
    <w:sdtEndPr/>
    <w:sdtContent>
      <w:p w:rsidR="00F11525" w:rsidRDefault="00F1152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1DE">
          <w:rPr>
            <w:noProof/>
          </w:rPr>
          <w:t>2</w:t>
        </w:r>
        <w:r>
          <w:fldChar w:fldCharType="end"/>
        </w:r>
      </w:p>
    </w:sdtContent>
  </w:sdt>
  <w:p w:rsidR="00F11525" w:rsidRDefault="00F115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E55" w:rsidRDefault="00413E55" w:rsidP="00F11525">
      <w:pPr>
        <w:spacing w:after="0" w:line="240" w:lineRule="auto"/>
      </w:pPr>
      <w:r>
        <w:separator/>
      </w:r>
    </w:p>
  </w:footnote>
  <w:footnote w:type="continuationSeparator" w:id="0">
    <w:p w:rsidR="00413E55" w:rsidRDefault="00413E55" w:rsidP="00F11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75C5F"/>
    <w:multiLevelType w:val="hybridMultilevel"/>
    <w:tmpl w:val="ADD2EBE2"/>
    <w:lvl w:ilvl="0" w:tplc="B7A496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23D"/>
    <w:rsid w:val="000A1148"/>
    <w:rsid w:val="001536A5"/>
    <w:rsid w:val="0027156B"/>
    <w:rsid w:val="00413E55"/>
    <w:rsid w:val="0082723D"/>
    <w:rsid w:val="009321DE"/>
    <w:rsid w:val="00A94FBB"/>
    <w:rsid w:val="00D3333B"/>
    <w:rsid w:val="00EC738F"/>
    <w:rsid w:val="00F11525"/>
    <w:rsid w:val="00F1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23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23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5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1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525"/>
  </w:style>
  <w:style w:type="paragraph" w:styleId="Pidipagina">
    <w:name w:val="footer"/>
    <w:basedOn w:val="Normale"/>
    <w:link w:val="PidipaginaCarattere"/>
    <w:uiPriority w:val="99"/>
    <w:unhideWhenUsed/>
    <w:rsid w:val="00F1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7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1233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23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152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1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525"/>
  </w:style>
  <w:style w:type="paragraph" w:styleId="Pidipagina">
    <w:name w:val="footer"/>
    <w:basedOn w:val="Normale"/>
    <w:link w:val="PidipaginaCarattere"/>
    <w:uiPriority w:val="99"/>
    <w:unhideWhenUsed/>
    <w:rsid w:val="00F115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tsmaligna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iannis</dc:creator>
  <cp:lastModifiedBy>iannis</cp:lastModifiedBy>
  <cp:revision>3</cp:revision>
  <cp:lastPrinted>2019-10-14T13:26:00Z</cp:lastPrinted>
  <dcterms:created xsi:type="dcterms:W3CDTF">2019-10-14T12:28:00Z</dcterms:created>
  <dcterms:modified xsi:type="dcterms:W3CDTF">2019-10-14T14:23:00Z</dcterms:modified>
</cp:coreProperties>
</file>